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155 PatAnwO — Beratung und Vertretung von Dritten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Patentassessor, der im Geltungsbereich dieses Gesetzes eine Tätigkeit auf dem Gebiet des gewerblichen Rechtsschutzes auf Grund eines ständigen Dienstverhältnisses ausübt, kann im Rahmen dieses Dienstverhältnisses einen Dritten gemäß § 3 Abs. 2 und 3 beraten und vertreten, wenn</w:t>
      </w:r>
    </w:p>
    <w:p>
      <w:pPr>
        <w:ind w:left="420"/>
      </w:pPr>
      <w:r>
        <w:t xml:space="preserve">1. der Dritte und der Dienstherr des Patentassessors im Verhältnis zueinander Konzernunternehmen (§ 18 des Aktiengesetzes) oder Vertragsteile eines Unternehmensvertrags (§§ 291, 292 des Aktiengesetzes) sind;</w:t>
      </w:r>
    </w:p>
    <w:p>
      <w:pPr>
        <w:ind w:left="420"/>
      </w:pPr>
      <w:r>
        <w:t xml:space="preserve">2. der Dritte im Inland weder Wohnsitz noch Niederlassung hat und er dem Dienstherrn des Patentassessors vertraglich die Wahrnehmung seiner Interessen auf dem Gebiet des gewerblichen Rechtsschutzes übertragen hat.</w:t>
      </w:r>
    </w:p>
    <w:p>
      <w:r>
        <w:t xml:space="preserve">(2) Der Patentassessor kann im Fall des Absatzes 1 Nr. 2 von dem Dritten als Vertreter im Sinne des § 25 des Patentgesetzes, des § 28 des Gebrauchsmustergesetzes, des § 11 Abs. 2 des Halbleiterschutzgesetzes, des § 58 des Designgesetzes und des § 96 des Markengesetzes bestellt werden.</w:t>
      </w:r>
    </w:p>
    <w:p>
      <w:r>
        <w:t xml:space="preserve">(3) Absatz 1 Nummer 2 und Absatz 2 gelten nicht für Syndikuspatentanwälte (§ 41a Absatz 2).</w:t>
      </w:r>
    </w:p>
    <w:p>
      <w:r>
        <w:rPr>
          <w:color w:val="555555"/>
          <w:sz w:val="17"/>
        </w:rPr>
        <w:t xml:space="preserve">Zitiervorschlag: § 155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