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150a PatAnwO — Kostenpflicht im Verfahren bei Anträgen auf Entscheidung des Landgerichts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Wird der Antrag auf berufsgerichtliche Entscheidung gegen die Androhung oder die Festsetzung des Zwangsgelds oder über die Rüge als unbegründet zurückgewiesen, so ist § 150 Abs. 1 Satz 1 entsprechend anzuwenden. Stellt das Landgericht fest, daß die Rüge wegen der Verhängung einer berufsgerichtlichen Maßnahme unwirksam ist (§ 70a Abs. 5 Satz 2) oder hebt es den Rügebescheid gemäß § 70a Abs. 3 Satz 2 auf, so kann es dem Mitglied der Patentanwaltskammer die in dem Verfahren entstandenen Kosten ganz oder teilweise auferlegen, wenn es dies für angemessen erachtet.</w:t>
      </w:r>
    </w:p>
    <w:p>
      <w:r>
        <w:t xml:space="preserve">(2) Nimmt das Mitglied der Patentanwaltskammer den Antrag auf Entscheidung des Landgerichts zurück oder wird der Antrag als unzulässig verworfen, so gilt § 150 Abs. 2 Satz 1 entsprechend.</w:t>
      </w:r>
    </w:p>
    <w:p>
      <w:r>
        <w:t xml:space="preserve">(3) Wird die Androhung oder die Festsetzung des Zwangsgelds aufgehoben, so sind die notwendigen Auslagen des Mitglieds der Patentanwaltskammer der Patentanwaltskammer aufzuerlegen. Das gleiche gilt, wenn der Rügebescheid, den Fall des § 70a Abs. 3 Satz 2 ausgenommen, aufgehoben wird oder wenn die Unwirksamkeit der Rüge wegen eines Freispruchs des Mitglieds der Patentanwaltskammer im berufsgerichtlichen Verfahren oder aus den Gründen des § 97a Absatz 2 Satz 2 festgestellt wird (§ 70a Abs. 5 Satz 2).</w:t>
      </w:r>
    </w:p>
    <w:p>
      <w:r>
        <w:rPr>
          <w:color w:val="555555"/>
          <w:sz w:val="17"/>
        </w:rPr>
        <w:t xml:space="preserve">Zitiervorschlag: § 150a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https://recht.nulegal.eu/gesetze/PatAnwO/150a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