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PatAnwO — Erhebung von Verwaltungsgebühren und Auslagen</w:t>
      </w:r>
    </w:p>
    <w:p>
      <w:r>
        <w:rPr>
          <w:color w:val="555555"/>
          <w:sz w:val="18"/>
        </w:rPr>
        <w:t xml:space="preserve">Patentanwaltsordnung</w:t>
      </w:r>
    </w:p>
    <w:p>
      <w:r>
        <w:rPr>
          <w:color w:val="555555"/>
          <w:sz w:val="18"/>
        </w:rPr>
        <w:t xml:space="preserve">Stand: 01.08.2022 (konsolidierte Textfassung, kein amtliches Inkrafttretensdatum)</w:t>
      </w:r>
    </w:p>
    <w:p>
      <w:r>
        <w:t xml:space="preserve">Die Patentanwaltskammer kann für Amtshandlungen nach diesem Gesetz zur Deckung des Verwaltungsaufwands Gebühren nach festen Sätzen und Auslagen erheben. Das Verwaltungskostengesetz in der bis zum 14. August 2013 geltenden Fassung findet mit der Maßgabe Anwendung, dass die allgemeinen Grundsätze für Kostenverordnungen (§§ 2 bis 7 des Verwaltungskostengesetzes in der bis zum 14. August 2013 geltenden Fassung) beim Erlass von Satzungen auf Grund des § 82 Absatz 2 Nummer 4 entsprechend gelten.</w:t>
      </w:r>
    </w:p>
    <w:p>
      <w:r>
        <w:rPr>
          <w:color w:val="555555"/>
          <w:sz w:val="17"/>
        </w:rPr>
        <w:t xml:space="preserve">Zitiervorschlag: § 145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