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143 PatAnwO — Bestellung einer Vertretung</w:t>
      </w:r>
    </w:p>
    <w:p>
      <w:r>
        <w:rPr>
          <w:color w:val="555555"/>
          <w:sz w:val="18"/>
        </w:rPr>
        <w:t xml:space="preserve">Patentanwaltsordnung</w:t>
      </w:r>
    </w:p>
    <w:p>
      <w:r>
        <w:rPr>
          <w:color w:val="555555"/>
          <w:sz w:val="18"/>
        </w:rPr>
        <w:t xml:space="preserve">Stand: 01.08.2022 (konsolidierte Textfassung, kein amtliches Inkrafttretensdatum)</w:t>
      </w:r>
    </w:p>
    <w:p>
      <w:r>
        <w:t xml:space="preserve">(1) Für ein Mitglied der Patentanwaltskammer, gegen das ein Berufs- oder Vertretungsverbot verhängt ist, wird von der Patentanwaltskammer eine Vertretung bestellt, wenn hierfür ein Bedürfnis besteht. Vor der Bestellung ist das Mitglied zu hören. Es kann eine Vertretung vorschlagen.</w:t>
      </w:r>
    </w:p>
    <w:p>
      <w:r>
        <w:t xml:space="preserve">(2) § 46 Absatz 2, Absatz 4 Satz 3 und Absatz 5 sowie § 47 sind entsprechend anzuwenden.</w:t>
      </w:r>
    </w:p>
    <w:p>
      <w:r>
        <w:rPr>
          <w:color w:val="555555"/>
          <w:sz w:val="17"/>
        </w:rPr>
        <w:t xml:space="preserve">Zitiervorschlag: § 143 PatAnwO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https://recht.nulegal.eu/gesetze/PatAnwO/143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