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142 PatAnwO — Mitteilung des Verbots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Beschluß, durch den ein Berufs- oder Vertretungsverbot verhängt wird, ist alsbald der Patentanwaltskammer in beglaubigter Abschrift mitzuteilen.</w:t>
      </w:r>
    </w:p>
    <w:p>
      <w:r>
        <w:t xml:space="preserve">(2) Tritt das Berufs- oder Vertretungsverbot außer Kraft oder wird es aufgehoben oder abgeändert, so ist Absatz 1 entsprechend anzuwenden.</w:t>
      </w:r>
    </w:p>
    <w:p>
      <w:r>
        <w:rPr>
          <w:color w:val="555555"/>
          <w:sz w:val="17"/>
        </w:rPr>
        <w:t xml:space="preserve">Zitiervorschlag: § 142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https://recht.nulegal.eu/gesetze/PatAnwO/142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