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PatAnwO — Außerkrafttreten des Verbots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Berufs- oder Vertretungsverbot tritt außer Kraft,</w:t>
      </w:r>
    </w:p>
    <w:p>
      <w:pPr>
        <w:ind w:left="420"/>
      </w:pPr>
      <w:r>
        <w:t xml:space="preserve">1. wenn nicht ein auf eine Maßnahme nach § 96 Absatz 1 Nummer 4 oder Absatz 2 Nummer 4 lautendes Urteil ergeht;</w:t>
      </w:r>
    </w:p>
    <w:p>
      <w:pPr>
        <w:ind w:left="420"/>
      </w:pPr>
      <w:r>
        <w:t xml:space="preserve">2. wenn die Eröffnung des Hauptverfahrens vor der Kammer für Patentanwaltssachen abgelehnt wird.</w:t>
      </w:r>
    </w:p>
    <w:p>
      <w:r>
        <w:rPr>
          <w:color w:val="555555"/>
          <w:sz w:val="17"/>
        </w:rPr>
        <w:t xml:space="preserve">Zitiervorschlag: § 140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