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PatAnwO — Antrag auf Zulassung zur Patentanwaltschaft</w:t>
      </w:r>
    </w:p>
    <w:p>
      <w:r>
        <w:rPr>
          <w:color w:val="555555"/>
          <w:sz w:val="18"/>
        </w:rPr>
        <w:t xml:space="preserve">Patentanwaltsordnung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Zulassung zur Patentanwaltschaft wird auf Antrag erteilt.</w:t>
      </w:r>
    </w:p>
    <w:p>
      <w:r>
        <w:t xml:space="preserve">(2) Ein Antrag darf nur aus den in diesem Gesetz bezeichneten Gründen abgelehnt werden.</w:t>
      </w:r>
    </w:p>
    <w:p>
      <w:r>
        <w:t xml:space="preserve">(3) u. (4) (weggefallen)</w:t>
      </w:r>
    </w:p>
    <w:p>
      <w:r>
        <w:rPr>
          <w:color w:val="555555"/>
          <w:sz w:val="17"/>
        </w:rPr>
        <w:t xml:space="preserve">Zitiervorschlag: § 13 PatAnwO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https://recht.nulegal.eu/gesetze/PatAnwO/13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