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123 PatAnwO — Entscheidung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Hauptverhandlung schließt mit der auf die Beratung folgenden Verkündung des Urteils.</w:t>
      </w:r>
    </w:p>
    <w:p>
      <w:r>
        <w:t xml:space="preserve">(2) Das Urteil lautet auf Freisprechung, Verurteilung oder Einstellung des Verfahrens.</w:t>
      </w:r>
    </w:p>
    <w:p>
      <w:r>
        <w:t xml:space="preserve">(3) Das berufsgerichtliche Verfahren ist, abgesehen von dem Fall des § 260 Abs. 3 der Strafprozeßordnung, einzustellen,</w:t>
      </w:r>
    </w:p>
    <w:p>
      <w:pPr>
        <w:ind w:left="420"/>
      </w:pPr>
      <w:r>
        <w:t xml:space="preserve">1. wenn die Zulassung zur Patentanwaltschaft (§ 20) oder die Zulassung als Berufsausübungsgesellschaft (§ 52h Absatz 1) erloschen ist;</w:t>
      </w:r>
    </w:p>
    <w:p>
      <w:pPr>
        <w:ind w:left="420"/>
      </w:pPr>
      <w:r>
        <w:t xml:space="preserve">2. wenn nach § 97b von einer berufsgerichtlichen Ahndung abzusehen ist.</w:t>
      </w:r>
    </w:p>
    <w:p>
      <w:r>
        <w:rPr>
          <w:color w:val="555555"/>
          <w:sz w:val="17"/>
        </w:rPr>
        <w:t xml:space="preserve">Zitiervorschlag: § 123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https://recht.nulegal.eu/gesetze/PatAnwO/123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