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PatAnwO — Zustellung des Eröffnungsbeschlusses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Beschluß über die Eröffnung des Hauptverfahrens ist dem Mitglied der Patentanwaltskammer spätestens mit der Ladung zuzustellen. Entsprechendes gilt in den Fällen des § 207 Abs. 3 der Strafprozeßordnung für die nachgereichte Anschuldigungsschrift.</w:t>
      </w:r>
    </w:p>
    <w:p>
      <w:r>
        <w:rPr>
          <w:color w:val="555555"/>
          <w:sz w:val="17"/>
        </w:rPr>
        <w:t xml:space="preserve">Zitiervorschlag: § 118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