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106 PatAnwO — Einleitung des berufsgerichtlichen Verfahrens</w:t>
      </w:r>
    </w:p>
    <w:p>
      <w:r>
        <w:rPr>
          <w:color w:val="555555"/>
          <w:sz w:val="18"/>
        </w:rPr>
        <w:t xml:space="preserve">Patentanwaltsordnung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berufsgerichtliche Verfahren wird dadurch eingeleitet, daß die Staatsanwaltschaft bei dem Landgericht eine Anschuldigungsschrift einreicht.</w:t>
      </w:r>
    </w:p>
    <w:p>
      <w:r>
        <w:rPr>
          <w:color w:val="555555"/>
          <w:sz w:val="17"/>
        </w:rPr>
        <w:t xml:space="preserve">Zitiervorschlag: § 106 PatAnwO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https://recht.nulegal.eu/gesetze/PatAnwO/106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