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103d PatAnwO — Vernehmung des gesetzlichen Vertreters</w:t>
      </w:r>
    </w:p>
    <w:p>
      <w:r>
        <w:rPr>
          <w:color w:val="555555"/>
          <w:sz w:val="18"/>
        </w:rPr>
        <w:t xml:space="preserve">Patentanwaltsordnung</w:t>
      </w:r>
    </w:p>
    <w:p>
      <w:r>
        <w:rPr>
          <w:color w:val="555555"/>
          <w:sz w:val="18"/>
        </w:rPr>
        <w:t xml:space="preserve">Stand: 01.08.2022 (konsolidierte Textfassung, kein amtliches Inkrafttretensdatum)</w:t>
      </w:r>
    </w:p>
    <w:p>
      <w:r>
        <w:t xml:space="preserve">(1) Dem gesetzlichen Vertreter der Berufsausübungsgesellschaft steht es im berufsgerichtlichen Verfahren frei, sich zu äußern oder nicht zur Sache auszusagen. § 133 Absatz 1 sowie die §§ 136 und 136a der Strafprozessordnung gelten für die Vernehmung des gesetzlichen Vertreters der Berufsausübungsgesellschaft entsprechend.</w:t>
      </w:r>
    </w:p>
    <w:p>
      <w:r>
        <w:t xml:space="preserve">(2) In anderen Verfahren kann der gesetzliche Vertreter der Berufsausübungsgesellschaft als Zeuge auch die Auskunft auf solche Fragen verweigern, deren Beantwortung der Berufsausübungsgesellschaft die Gefahr zuziehen würde, für eine Berufspflichtverletzung verantwortlich gemacht zu werden. § 55 Absatz 2 und § 56 der Strafprozessordnung gelten entsprechend.</w:t>
      </w:r>
    </w:p>
    <w:p>
      <w:r>
        <w:rPr>
          <w:color w:val="555555"/>
          <w:sz w:val="17"/>
        </w:rPr>
        <w:t xml:space="preserve">Zitiervorschlag: § 103d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