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103a PatAnwO — Vertretung von Berufsausübungsgesellschaften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Berufsausübungsgesellschaft wird im berufsgerichtlichen Verfahren durch ihre gesetzlichen Vertreter vertreten.</w:t>
      </w:r>
    </w:p>
    <w:p>
      <w:r>
        <w:t xml:space="preserve">(2) Von der Vertretung ausgeschlossen sind Personen, die einer Berufspflichtverletzung beschuldigt sind.</w:t>
      </w:r>
    </w:p>
    <w:p>
      <w:r>
        <w:t xml:space="preserve">(3) § 51 Absatz 2 der Zivilprozessordnung gilt entsprechend.</w:t>
      </w:r>
    </w:p>
    <w:p>
      <w:r>
        <w:rPr>
          <w:color w:val="555555"/>
          <w:sz w:val="17"/>
        </w:rPr>
        <w:t xml:space="preserve">Zitiervorschlag: § 103a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