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PatAnwO — Berufsgerichtliches Verfahren gegen Leitungspersonen und Berufsausübungsgesellschaften</w:t>
      </w:r>
    </w:p>
    <w:p>
      <w:r>
        <w:rPr>
          <w:color w:val="555555"/>
          <w:sz w:val="18"/>
        </w:rPr>
        <w:t xml:space="preserve">Patentanwaltsordnung</w:t>
      </w:r>
    </w:p>
    <w:p>
      <w:r>
        <w:rPr>
          <w:color w:val="555555"/>
          <w:sz w:val="18"/>
        </w:rPr>
        <w:t xml:space="preserve">Stand: 01.08.2022 (konsolidierte Textfassung, kein amtliches Inkrafttretensdatum)</w:t>
      </w:r>
    </w:p>
    <w:p>
      <w:r>
        <w:t xml:space="preserve">(1) Das berufsgerichtliche Verfahren gegen eine Leitungsperson und gegen eine Berufsausübungsgesellschaft können miteinander verbunden werden.</w:t>
      </w:r>
    </w:p>
    <w:p>
      <w:r>
        <w:t xml:space="preserve">(2) Von berufsgerichtlichen Maßnahmen gegen eine Berufsausübungsgesellschaft kann abgesehen werden, wenn sie unter Berücksichtigung aller Umstände des Einzelfalls, insbesondere der Art der Pflichtverletzung, deren Häufigkeit und Gleichförmigkeit und des Schwerpunkts der Vorwerfbarkeit, neben der Verhängung einer berufsgerichtlichen Maßnahme gegen die Leitungsperson nicht erforderlich erscheinen.</w:t>
      </w:r>
    </w:p>
    <w:p>
      <w:r>
        <w:rPr>
          <w:color w:val="555555"/>
          <w:sz w:val="17"/>
        </w:rPr>
        <w:t xml:space="preserve">Zitiervorschlag: § 103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