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PatAnwArmSG 1966</w:t>
      </w:r>
    </w:p>
    <w:p>
      <w:r>
        <w:rPr>
          <w:color w:val="555555"/>
          <w:sz w:val="18"/>
        </w:rPr>
        <w:t xml:space="preserve">Gesetz über die Beiordnung von Patentanwälten bei Prozeßkostenhilfe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Auf die Erstattung der Gebühren und Auslagen des beigeordneten Patentanwalts sind die Vorschriften des Rechtsanwaltsvergütungsgesetzes, die für die Vergütung bei Prozesskostenhilfe gelten, sinngemäß mit folgenden Maßgaben anzuwenden:</w:t>
      </w:r>
    </w:p>
    <w:p>
      <w:pPr>
        <w:ind w:left="420"/>
      </w:pPr>
      <w:r>
        <w:t xml:space="preserve">1. Der Patentanwalt erhält eine Gebühr mit einem Gebührensatz von 1,0 und, wenn er eine mündliche Verhandlung oder einen Beweistermin wahrgenommen hat, eine Gebühr mit einem Gebührensatz von 2,0 nach § 49 des Rechtsanwaltsvergütungsgesetzes.</w:t>
      </w:r>
    </w:p>
    <w:p>
      <w:pPr>
        <w:ind w:left="420"/>
      </w:pPr>
      <w:r>
        <w:t xml:space="preserve">2. Reisekosten für die Wahrnehmung einer mündlichen Verhandlung oder eines Beweistermins werden nur ersetzt, wenn das Prozessgericht vor dem Termin die Teilnahme des Patentanwalts für geboten erklärt hat.</w:t>
      </w:r>
    </w:p>
    <w:p>
      <w:r>
        <w:rPr>
          <w:color w:val="555555"/>
          <w:sz w:val="17"/>
        </w:rPr>
        <w:t xml:space="preserve">Zitiervorschlag: § 2 PatAnwArmSG 1966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https://recht.nulegal.eu/gesetze/PatAnwArmSG%201966/2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PatAnwArmSG 1966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