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PatAnwAPrV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verordnet auf Grund</w:t>
      </w:r>
    </w:p>
    <w:p>
      <w:pPr>
        <w:ind w:left="420"/>
      </w:pPr>
      <w:r>
        <w:t xml:space="preserve">– des § 12 der Patentanwaltsordnung, der zuletzt durch Artikel 4 Nummer 7 des Gesetzes vom 12. Mai 2017 (BGBl. I S. 1121) geändert worden ist, das Bundesministerium der Justiz und für Verbraucherschutz im Einvernehmen mit dem Bundesministerium der Finanzen und</w:t>
      </w:r>
    </w:p>
    <w:p>
      <w:pPr>
        <w:ind w:left="420"/>
      </w:pPr>
      <w:r>
        <w:t xml:space="preserve">– des § 10 des Gesetzes über die Tätigkeit europäischer Patentanwälte in Deutschland vom 12. Mai 2017 (BGBl. I S. 1121, 1137) das Bundesministerium der Justiz und für Verbraucherschutz:</w:t>
      </w:r>
    </w:p>
    <w:p>
      <w:r>
        <w:rPr>
          <w:color w:val="555555"/>
          <w:sz w:val="17"/>
        </w:rPr>
        <w:t xml:space="preserve">Zitiervorschlag: Eingangsformel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