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PatAnwAPrV — Übergangsbestimmungen zu Teil 3</w:t>
      </w:r>
    </w:p>
    <w:p>
      <w:r>
        <w:rPr>
          <w:color w:val="555555"/>
          <w:sz w:val="18"/>
        </w:rPr>
        <w:t xml:space="preserve">Patentanwaltsausbildungs- und -prüfungsverordnung</w:t>
      </w:r>
    </w:p>
    <w:p>
      <w:r>
        <w:rPr>
          <w:color w:val="555555"/>
          <w:sz w:val="18"/>
        </w:rPr>
        <w:t xml:space="preserve">Stand: 01.08.2022 (konsolidierte Textfassung, kein amtliches Inkrafttretensdatum)</w:t>
      </w:r>
    </w:p>
    <w:p>
      <w:r>
        <w:t xml:space="preserve">Die Vorschriften über die Sicherung des Unterhalts nach Teil 3 gelten nur für Unterhaltsdarlehen, die ab dem 1. Oktober 2017 gewährt werden. Für davor gewährte Darlehen gelten die Vorschriften des Dritten Teils dieser Verordnung in der bis zum 30. September 2017 geltenden Fassung.</w:t>
      </w:r>
    </w:p>
    <w:p>
      <w:r>
        <w:rPr>
          <w:color w:val="555555"/>
          <w:sz w:val="17"/>
        </w:rPr>
        <w:t xml:space="preserve">Zitiervorschlag: § 78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