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PatAnwAPrV — Übergangsbestimmungen zu Teil 1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Ausbildungshöchstdauer nach § 7 Nummer 1 gilt nicht für Ausbildungen, die vor dem 1. Oktober 2017 begonnen haben.</w:t>
      </w:r>
    </w:p>
    <w:p>
      <w:r>
        <w:t xml:space="preserve">(2) Abweichend von § 21 Absatz 6 Satz 1 und § 22 Absatz 3 Nummer 2 muss der regelmäßige Besuch der Arbeitsgemeinschaften für die Zeit vor dem 1. Oktober 2017 nicht bescheinigt und nachgewiesen werden.</w:t>
      </w:r>
    </w:p>
    <w:p>
      <w:r>
        <w:t xml:space="preserve">(3) Das Insolvenzrecht und das Marken- und Designrecht können erst dann zum Gegenstand der Prüfung nach § 32 Absatz 4 werden, wenn sie zuvor Gegenstand des Studiengangs waren.</w:t>
      </w:r>
    </w:p>
    <w:p>
      <w:r>
        <w:rPr>
          <w:color w:val="555555"/>
          <w:sz w:val="17"/>
        </w:rPr>
        <w:t xml:space="preserve">Zitiervorschlag: § 76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