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PatAnwAPrV — Zweite Wiederholung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die erste Wiederholung einer Eignungsprüfung nicht bestanden hat, kann sie unter den Voraussetzungen des § 55 Absatz 1 und 2 Satz 1 ein zweites Mal wiederholen. § 55 Absatz 2 Satz 2, Absatz 3 und 5 gilt entsprechend.</w:t>
      </w:r>
    </w:p>
    <w:p>
      <w:r>
        <w:t xml:space="preserve">(2) Für die Möglichkeit der Beschränkung der zweiten Wiederholung der Eignungsprüfung gilt § 73 Absatz 2 entsprechend.</w:t>
      </w:r>
    </w:p>
    <w:p>
      <w:r>
        <w:rPr>
          <w:color w:val="555555"/>
          <w:sz w:val="17"/>
        </w:rPr>
        <w:t xml:space="preserve">Zitiervorschlag: § 74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