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PatAnwAPrV — Erste Wiederholung</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Ein Antrag auf Wiederholung einer nicht bestandenen Eignungsprüfung ist beim Deutschen Patent- und Markenamt schriftlich zu stellen und muss sich auf einen bestimmten Eignungsprüfungstermin beziehen. Über den Antrag hat das Deutsche Patent- und Markenamt durch schriftlichen Bescheid zu entscheiden.</w:t>
      </w:r>
    </w:p>
    <w:p>
      <w:r>
        <w:t xml:space="preserve">(2) Hat ein Prüfling in jeder Klausur nach der Bewertung aller Prüfer die nach § 3 des Gesetzes über die Tätigkeit europäischer Patentanwälte in Deutschland erforderlichen Kenntnisse nachgewiesen, so kann der Prüfungsausschuss die Wiederholung auf den mündlichen Teil der Eignungsprüfung beschränken. Diese Beschränkung gilt nur, wenn die Wiederholung des mündlichen Teils innerhalb von 13 Monaten nach der Bekanntgabe des Nichtbestehens der Eignungsprüfung erfolgt.</w:t>
      </w:r>
    </w:p>
    <w:p>
      <w:r>
        <w:rPr>
          <w:color w:val="555555"/>
          <w:sz w:val="17"/>
        </w:rPr>
        <w:t xml:space="preserve">Zitiervorschlag: § 73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