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67 PatAnwAPrV — Prüfungstermine und Prüfungstage</w:t>
      </w:r>
    </w:p>
    <w:p>
      <w:r>
        <w:rPr>
          <w:color w:val="555555"/>
          <w:sz w:val="18"/>
        </w:rPr>
        <w:t xml:space="preserve">Patentanwaltsausbildungs- und -prüfungsverordnung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Bestimmung und Veröffentlichung der Prüfungstermine und der Prüfungstage der Eignungsprüfungen sowie für die Ankündigung des voraussichtlichen Zeitraums ihrer mündlichen Prüfungsteile gilt § 35 entsprechend mit der Maßgabe, dass jährlich mindestens drei Termine im Abstand von höchstens vier Monaten stattzufinden haben.</w:t>
      </w:r>
    </w:p>
    <w:p>
      <w:r>
        <w:rPr>
          <w:color w:val="555555"/>
          <w:sz w:val="17"/>
        </w:rPr>
        <w:t xml:space="preserve">Zitiervorschlag: § 67 PatAnwAPrV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https://recht.nulegal.eu/gesetze/PatAnwAPrV/67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