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PatAnwAPrV — Rückforderungen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Rückforderung eines zu viel gezahlten Unterhaltsdarlehens bestimmt sich nach den Vorschriften des Bürgerlichen Gesetzbuchs über die Herausgabe einer ungerechtfertigten Bereicherung.</w:t>
      </w:r>
    </w:p>
    <w:p>
      <w:r>
        <w:t xml:space="preserve">(2) Der Kenntnis der Bewerberinnen und Bewerber des Mangels des rechtlichen Grundes der Zahlung nach § 819 Absatz 1 des Bürgerlichen Gesetzbuchs steht es gleich, wenn</w:t>
      </w:r>
    </w:p>
    <w:p>
      <w:pPr>
        <w:ind w:left="420"/>
      </w:pPr>
      <w:r>
        <w:t xml:space="preserve">1. der Mangel so offensichtlich war, dass die Bewerberin oder der Bewerber ihn hätte erkennen müssen, oder</w:t>
      </w:r>
    </w:p>
    <w:p>
      <w:pPr>
        <w:ind w:left="420"/>
      </w:pPr>
      <w:r>
        <w:t xml:space="preserve">2. die Bewerberin oder der Bewerber dem Deutschen Patent- und Markenamt entgegen § 62 Absatz 1 Tatsachen verschwiegen hat, die den Anspruch auf das Darlehen ganz oder teilweise ausschlossen.</w:t>
      </w:r>
    </w:p>
    <w:p>
      <w:r>
        <w:t xml:space="preserve">(3) Von der Rückforderung kann aus Billigkeitsgründen mit Zustimmung des Bundesministeriums der Justiz und für Verbraucherschutz ganz oder teilweise abgesehen werden.</w:t>
      </w:r>
    </w:p>
    <w:p>
      <w:r>
        <w:t xml:space="preserve">(4) Für die Höhe und die Berechnung der Verzinsung gilt § 66 Absatz 1 Satz 1 und 2 entsprechend. Die Verzinsung beginnt am Ersten des auf die ungerechtfertigte Auszahlung folgenden Monats.</w:t>
      </w:r>
    </w:p>
    <w:p>
      <w:r>
        <w:rPr>
          <w:color w:val="555555"/>
          <w:sz w:val="17"/>
        </w:rPr>
        <w:t xml:space="preserve">Zitiervorschlag: § 65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