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61 PatAnwAPrV — Vermögensanrechnung</w:t>
      </w:r>
    </w:p>
    <w:p>
      <w:r>
        <w:rPr>
          <w:color w:val="555555"/>
          <w:sz w:val="18"/>
        </w:rPr>
        <w:t xml:space="preserve">Patentanwaltsausbildungs- und -prüfungsverordnung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Vermögen der Bewerberinnen und Bewerber und ihrer Ehegatten wird auf die Höhe des zu gewährenden Unterhaltsdarlehens angerechnet.</w:t>
      </w:r>
    </w:p>
    <w:p>
      <w:r>
        <w:t xml:space="preserve">(2) Für die Ermittlung des anrechenbaren Vermögens gelten die §§ 27 bis 30 des Bundesausbildungsförderungsgesetzes entsprechend.</w:t>
      </w:r>
    </w:p>
    <w:p>
      <w:r>
        <w:rPr>
          <w:color w:val="555555"/>
          <w:sz w:val="17"/>
        </w:rPr>
        <w:t xml:space="preserve">Zitiervorschlag: § 61 PatAnwAPrV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https://recht.nulegal.eu/gesetze/PatAnwAPrV/61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