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PatAnwAPrV — Darlehenshöhe und Darlehensschuld</w:t>
      </w:r>
    </w:p>
    <w:p>
      <w:r>
        <w:rPr>
          <w:color w:val="555555"/>
          <w:sz w:val="18"/>
        </w:rPr>
        <w:t xml:space="preserve">Patentanwaltsausbildungs- und -prüfungsverordnung</w:t>
      </w:r>
    </w:p>
    <w:p>
      <w:r>
        <w:rPr>
          <w:color w:val="555555"/>
          <w:sz w:val="18"/>
        </w:rPr>
        <w:t xml:space="preserve">Stand: 11.01.2022 (konsolidierte Textfassung, kein amtliches Inkrafttretensdatum)</w:t>
      </w:r>
    </w:p>
    <w:p>
      <w:r>
        <w:t xml:space="preserve">(1) Das Unterhaltsdarlehen setzt sich zusammen aus</w:t>
      </w:r>
    </w:p>
    <w:p>
      <w:pPr>
        <w:ind w:left="420"/>
      </w:pPr>
      <w:r>
        <w:t xml:space="preserve">1. 80 Prozent des Anwärtergrundbetrags des höheren Dienstes nach der Anlage VIII zum Bundesbesoldungsgesetz und</w:t>
      </w:r>
    </w:p>
    <w:p>
      <w:pPr>
        <w:ind w:left="420"/>
      </w:pPr>
      <w:r>
        <w:t xml:space="preserve">2. dem Familienzuschlag nach den §§ 39 bis 41 des Bundesbesoldungsgesetzes.</w:t>
      </w:r>
    </w:p>
    <w:p>
      <w:r>
        <w:t xml:space="preserve">(2) Lebenspartner nach dem Lebenspartnerschaftsgesetz stehen in Bezug auf den Unterhaltsanspruch Ehegatten gleich.</w:t>
      </w:r>
    </w:p>
    <w:p>
      <w:r>
        <w:t xml:space="preserve">(3) Die Höhe des Unterhaltsdarlehens bemisst sich für die gesamte Laufzeit des Darlehens nach den am Ersten des ersten Bewilligungsmonats maßgeblichen Sätzen.</w:t>
      </w:r>
    </w:p>
    <w:p>
      <w:r>
        <w:rPr>
          <w:color w:val="555555"/>
          <w:sz w:val="17"/>
        </w:rPr>
        <w:t xml:space="preserve">Zitiervorschlag: § 59 PatAnwAPrV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https://recht.nulegal.eu/gesetze/PatAnwAPrV/59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