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PatAnwAPrV — Darlehensanspruch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Bewerberinnen und Bewerbern ist auf Antrag zur Sicherung ihres Unterhalts während ihrer Ausbildung bei einem Gericht für Patentstreitsachen, beim Deutschen Patent- und Markenamt und beim Bundespatentgericht sowie während ihrer Prüfungszeit ein Unterhaltsdarlehen zu gewähren. Dies gilt nicht für Prüflinge, die nach § 10a der Patentanwaltsordnung zur Prüfung zugelassen sind.</w:t>
      </w:r>
    </w:p>
    <w:p>
      <w:r>
        <w:t xml:space="preserve">(2) Ein Antrag nach Absatz 1 ist schriftlich beim Deutschen Patent- und Markenamt zu stellen, das über ihn durch schriftlichen Bescheid zu entscheiden hat.</w:t>
      </w:r>
    </w:p>
    <w:p>
      <w:r>
        <w:rPr>
          <w:color w:val="555555"/>
          <w:sz w:val="17"/>
        </w:rPr>
        <w:t xml:space="preserve">Zitiervorschlag: § 57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