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40 PatAnwAPrV — Gegenstände der Prüfung</w:t>
      </w:r>
    </w:p>
    <w:p>
      <w:r>
        <w:rPr>
          <w:color w:val="555555"/>
          <w:sz w:val="18"/>
        </w:rPr>
        <w:t xml:space="preserve">Patentanwaltsausbildungs- und -prüfungsverordnung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Gegenstand der schriftlichen Prüfung ist das Gebiet des gewerblichen Rechtsschutzes. Zumindest jeweils eine Klausur soll sich dabei im Schwerpunkt auf folgende Aufgabenstellungen beziehen:</w:t>
      </w:r>
    </w:p>
    <w:p>
      <w:pPr>
        <w:ind w:left="420"/>
      </w:pPr>
      <w:r>
        <w:t xml:space="preserve">1. juristische Prüfung technischer Schutzrechte (Patente, Gebrauchsmuster);</w:t>
      </w:r>
    </w:p>
    <w:p>
      <w:pPr>
        <w:ind w:left="420"/>
      </w:pPr>
      <w:r>
        <w:t xml:space="preserve">2. juristische Prüfung nichttechnischer Schutzrechte (Marken, Design);</w:t>
      </w:r>
    </w:p>
    <w:p>
      <w:pPr>
        <w:ind w:left="420"/>
      </w:pPr>
      <w:r>
        <w:t xml:space="preserve">3. Erstellung eines Schreibens aus der Rechtspraxis (insbesondere einer Anmeldung eines gewerblichen Schutzrechts oder einer Erwiderung auf einen Bescheid).</w:t>
      </w:r>
    </w:p>
    <w:p>
      <w:r>
        <w:t xml:space="preserve">(2) Die Gegenstände der mündlichen Prüfung sollen folgenden Rechtsgebieten entnommen werden:</w:t>
      </w:r>
    </w:p>
    <w:p>
      <w:pPr>
        <w:ind w:left="420"/>
      </w:pPr>
      <w:r>
        <w:t xml:space="preserve">1. bürgerliches Recht, Handelsrecht, Gesellschaftsrecht, Insolvenzrecht, Wettbewerbsrecht einschließlich Kartellrecht sowie gerichtliches Verfahrensrecht, soweit diese Rechtsgebiete für die Tätigkeit eines Patentanwalts oder Patentassessors von Bedeutung sind,</w:t>
      </w:r>
    </w:p>
    <w:p>
      <w:pPr>
        <w:ind w:left="420"/>
      </w:pPr>
      <w:r>
        <w:t xml:space="preserve">2. Patentrecht, Gebrauchsmusterrecht und Recht der Arbeitnehmererfindungen,</w:t>
      </w:r>
    </w:p>
    <w:p>
      <w:pPr>
        <w:ind w:left="420"/>
      </w:pPr>
      <w:r>
        <w:t xml:space="preserve">3. Markenrecht,</w:t>
      </w:r>
    </w:p>
    <w:p>
      <w:pPr>
        <w:ind w:left="420"/>
      </w:pPr>
      <w:r>
        <w:t xml:space="preserve">4. Designrecht,</w:t>
      </w:r>
    </w:p>
    <w:p>
      <w:pPr>
        <w:ind w:left="420"/>
      </w:pPr>
      <w:r>
        <w:t xml:space="preserve">5. Sortenschutzrecht,</w:t>
      </w:r>
    </w:p>
    <w:p>
      <w:pPr>
        <w:ind w:left="420"/>
      </w:pPr>
      <w:r>
        <w:t xml:space="preserve">6. gewerblicher Rechtsschutz im Unionsrecht und in zwischenstaatlichen Vereinbarungen, in Grundzügen auch im Recht der Vereinigten Staaten von Amerika, im Recht der Volksrepublik China und im Recht Japans, und</w:t>
      </w:r>
    </w:p>
    <w:p>
      <w:pPr>
        <w:ind w:left="420"/>
      </w:pPr>
      <w:r>
        <w:t xml:space="preserve">7. Berufsrecht der Patentanwälte.</w:t>
      </w:r>
    </w:p>
    <w:p>
      <w:r>
        <w:rPr>
          <w:color w:val="555555"/>
          <w:sz w:val="17"/>
        </w:rPr>
        <w:t xml:space="preserve">Zitiervorschlag: § 40 PatAnwAPrV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https://recht.nulegal.eu/gesetze/PatAnwAPrV/40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