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PatAnwAPrV — Rücknahme und Widerruf der Zulassung</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Die Zulassung zur Ausbildung ist mit Wirkung für die Zukunft durch schriftlichen Bescheid zurückzunehmen, wenn nachträglich Tatsachen bekannt werden, nach denen die Bewerberin oder der Bewerber nicht hätte zur Ausbildung zugelassen werden dürfen. Die Rücknahme darf nur innerhalb von drei Monaten nach Kenntnis von den Tatsachen, die die Rücknahme der rechtswidrigen Zulassung rechtfertigen, erfolgen. Satz 2 gilt nicht, wenn die Bewerberin oder der Bewerber die Zulassung zur Ausbildung durch arglistige Täuschung, Drohung oder Bestechung erwirkt hat. Von der Rücknahme kann abgesehen werden, wenn die Gründe, aus denen die Zulassung hätte versagt werden müssen, nicht mehr bestehen.</w:t>
      </w:r>
    </w:p>
    <w:p>
      <w:r>
        <w:t xml:space="preserve">(2) Die Zulassung zur Ausbildung kann mit Wirkung für die Zukunft durch schriftlichen Bescheid widerrufen werden, wenn die Bewerberin oder der Bewerber</w:t>
      </w:r>
    </w:p>
    <w:p>
      <w:pPr>
        <w:ind w:left="420"/>
      </w:pPr>
      <w:r>
        <w:t xml:space="preserve">1. während der Ausbildung im ersten Ausbildungsabschnitt seit mehr als sechs Monaten ohne eine Ausbildende oder einen Ausbildenden ist, die oder der entsprechend § 2 Absatz 2 Nummer 7 oder Absatz 4 zur Ausbildung bereit ist,</w:t>
      </w:r>
    </w:p>
    <w:p>
      <w:pPr>
        <w:ind w:left="420"/>
      </w:pPr>
      <w:r>
        <w:t xml:space="preserve">2. den zweiten Ausbildungsabschnitt nicht innerhalb von einem Jahr nach dem erfolgreichen Abschluss des ersten Ausbildungsabschnitts antritt oder</w:t>
      </w:r>
    </w:p>
    <w:p>
      <w:pPr>
        <w:ind w:left="420"/>
      </w:pPr>
      <w:r>
        <w:t xml:space="preserve">3. schuldhaft Pflichten nach § 23 Absatz 1 Satz 1 oder Absatz 3 schwerwiegend oder dauerhaft verletzt.</w:t>
      </w:r>
    </w:p>
    <w:p>
      <w:r>
        <w:t xml:space="preserve">(3) Im Fall eines Widerrufs wegen einer Pflichtverletzung nach Absatz 2 Nummer 3 ist eine erneute Zulassung zur Ausbildung ausgeschlossen. Dies gilt auch, wenn die Bewerberin oder der Bewerber bei Vorliegen der Voraussetzungen des Absatzes 2 Nummer 3 vor dem Widerruf freiwillig aus der Ausbildung ausgeschieden ist.</w:t>
      </w:r>
    </w:p>
    <w:p>
      <w:r>
        <w:rPr>
          <w:color w:val="555555"/>
          <w:sz w:val="17"/>
        </w:rPr>
        <w:t xml:space="preserve">Zitiervorschlag: § 4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