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PatAnwAPrV — Bestandteile der Prüfung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besteht aus einer schriftlichen und einer mündlichen Prüfung.</w:t>
      </w:r>
    </w:p>
    <w:p>
      <w:r>
        <w:t xml:space="preserve">(2) In der schriftlichen Prüfung sind vier Klausuren zu schreiben. Die Klausuren sind an verschiedenen Tagen zu schreiben. Die Bearbeitungsdauer beträgt bei den beiden Klausuren nach § 40 Absatz 1 Satz 2 Nummer 1 und 2 jeweils vier Stunden und im Übrigen jeweils drei Stunden.</w:t>
      </w:r>
    </w:p>
    <w:p>
      <w:r>
        <w:t xml:space="preserve">(3) Die mündliche Prüfung findet als Gruppenprüfung statt, wobei für jeden Prüfling eine Prüfungsdauer von etwa 45 Minuten vorzusehen ist.</w:t>
      </w:r>
    </w:p>
    <w:p>
      <w:r>
        <w:rPr>
          <w:color w:val="555555"/>
          <w:sz w:val="17"/>
        </w:rPr>
        <w:t xml:space="preserve">Zitiervorschlag: § 39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