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PatAnwAPrV — Verlängerung der Ausbildung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eine Bewerberin oder ein Bewerber das Ausbildungsziel des zweiten Ausbildungsabschnitts nicht erreicht, so hat das Deutsche Patent- und Markenamt einmalig bis zu einer Dauer von zwei Monaten die Verlängerung der Ausbildung anzuordnen und hiervon die Präsidentin oder den Präsidenten des Bundespatentgerichts zu unterrichten.</w:t>
      </w:r>
    </w:p>
    <w:p>
      <w:r>
        <w:t xml:space="preserve">(2) Hat eine Bewerberin oder ein Bewerber das Ausbildungsziel des dritten Ausbildungsabschnitts nicht erreicht, so hat die Präsidentin oder der Präsident des Bundespatentgerichts dies dem Deutschen Patent- und Markenamt mitzuteilen. Das Deutsche Patent- und Markenamt hat sodann in Abstimmung mit der Präsidentin oder dem Präsidenten des Bundespatentgerichts einmalig bis zur Dauer von sechs Monaten die Verlängerung der Ausbildung anzuordnen.</w:t>
      </w:r>
    </w:p>
    <w:p>
      <w:r>
        <w:rPr>
          <w:color w:val="555555"/>
          <w:sz w:val="17"/>
        </w:rPr>
        <w:t xml:space="preserve">Zitiervorschlag: § 29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