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PatAnwAPrV — Ausbildende und Lehrende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der Ausbildung nach § 25 Absatz 2 Nummer 1 darf nur betraut werden, wer über die erforderlichen fachlichen Kenntnisse und Fähigkeiten verfügt und nach seiner Persönlichkeit für diese Aufgabe geeignet ist.</w:t>
      </w:r>
    </w:p>
    <w:p>
      <w:r>
        <w:t xml:space="preserve">(2) Mit Lehrveranstaltungen nach § 26 Absatz 1 darf nur betraut werden, wer hierzu pädagogisch und fachlich geeignet ist. Der Nachweis der fachlichen Eignung ist regelmäßig dann erbracht, wenn eine mindestens vierjährige Tätigkeit beim Deutschen Patent- und Markenamt als rechtskundiges oder technisches Mitglied oder beim Bundespatentgericht als Richterin oder Richter ausgeübt wurde. Lehrende sollen pädagogisch und fachlich fortgebildet werden.</w:t>
      </w:r>
    </w:p>
    <w:p>
      <w:r>
        <w:rPr>
          <w:color w:val="555555"/>
          <w:sz w:val="17"/>
        </w:rPr>
        <w:t xml:space="preserve">Zitiervorschlag: § 27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