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PatAnwAPrV — Lehr- und Informationsveranstaltungen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Deutsche Patent- und Markenamt und die Präsidentin oder der Präsident des Bundespatentgerichts führen Lehrveranstaltungen vor allem auf dem Gebiet des deutschen gewerblichen Rechtsschutzes durch, insbesondere im Patent-, Gebrauchsmuster-, Marken- und Designrecht sowie im Recht der Arbeitnehmererfindungen.</w:t>
      </w:r>
    </w:p>
    <w:p>
      <w:r>
        <w:t xml:space="preserve">(2) Sie führen zudem Informationsveranstaltungen durch, soweit solche sachdienlich erscheinen.</w:t>
      </w:r>
    </w:p>
    <w:p>
      <w:r>
        <w:t xml:space="preserve">(3) Die Teilnahme an den Lehr- und Informationsveranstaltungen ist für die Bewerberinnen und Bewerber verpflichtend.</w:t>
      </w:r>
    </w:p>
    <w:p>
      <w:r>
        <w:rPr>
          <w:color w:val="555555"/>
          <w:sz w:val="17"/>
        </w:rPr>
        <w:t xml:space="preserve">Zitiervorschlag: § 26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