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PatAnwAPrV — Ausbildungsplan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Deutsche Patent- und Markenamt und die Präsidentin oder der Präsident des Bundespatentgerichts stellen jeweils einen Plan für die Ausbildung in ihrem Geschäftsbereich auf. Die Pläne sollen inhaltlich aufeinander abgestimmt sein.</w:t>
      </w:r>
    </w:p>
    <w:p>
      <w:r>
        <w:t xml:space="preserve">(2) Der Ausbildungsplan hat zumindest zu enthalten:</w:t>
      </w:r>
    </w:p>
    <w:p>
      <w:pPr>
        <w:ind w:left="420"/>
      </w:pPr>
      <w:r>
        <w:t xml:space="preserve">1. die Zuweisung der Bewerberinnen und Bewerber zu mindestens je einer oder einem Ausbildenden auf den Gebieten der technischen und der nichttechnischen Schutzrechte und die Dauer der Zuweisung,</w:t>
      </w:r>
    </w:p>
    <w:p>
      <w:pPr>
        <w:ind w:left="420"/>
      </w:pPr>
      <w:r>
        <w:t xml:space="preserve">2. die Anzahl und den Inhalt der Lehr- und Informationsveranstaltungen nach § 26 sowie</w:t>
      </w:r>
    </w:p>
    <w:p>
      <w:pPr>
        <w:ind w:left="420"/>
      </w:pPr>
      <w:r>
        <w:t xml:space="preserve">3. im dritten Ausbildungsabschnitt die Anzahl und den Gegenstand der zu Übungszwecken anzufertigenden schriftlichen Arbeiten (Übungsklausuren) und deren Bearbeitungsdauer.</w:t>
      </w:r>
    </w:p>
    <w:p>
      <w:r>
        <w:t xml:space="preserve">(3) Bei der Zuweisung zu den Ausbildenden auf dem Gebiet der technischen Schutzrechte soll auf die naturwissenschaftliche und technische Vorbildung der Bewerberinnen und Bewerber Rücksicht genommen werden.</w:t>
      </w:r>
    </w:p>
    <w:p>
      <w:r>
        <w:t xml:space="preserve">(4) Gegenstand der Übungsklausuren im dritten Ausbildungsabschnitt sind die Rechtsgebiete nach § 18 Absatz 1.</w:t>
      </w:r>
    </w:p>
    <w:p>
      <w:r>
        <w:rPr>
          <w:color w:val="555555"/>
          <w:sz w:val="17"/>
        </w:rPr>
        <w:t xml:space="preserve">Zitiervorschlag: § 25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