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PatAnwAPrV — Verlust und Entziehung der Ausbildungsbefugnis</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Patentanwälte verlieren ihre Ausbildungsbefugnis</w:t>
      </w:r>
    </w:p>
    <w:p>
      <w:pPr>
        <w:ind w:left="420"/>
      </w:pPr>
      <w:r>
        <w:t xml:space="preserve">1. mit der Bestandskraft oder der Anordnung der sofortigen Vollziehbarkeit der Rücknahme oder des Widerrufs der Zulassung zur Patentanwaltschaft nach § 21 der Patentanwaltsordnung,</w:t>
      </w:r>
    </w:p>
    <w:p>
      <w:pPr>
        <w:ind w:left="420"/>
      </w:pPr>
      <w:r>
        <w:t xml:space="preserve">2. mit der Rechtskraft eines berufsgerichtlichen Urteils auf Ausschließung aus der Patentanwaltschaft oder</w:t>
      </w:r>
    </w:p>
    <w:p>
      <w:pPr>
        <w:ind w:left="420"/>
      </w:pPr>
      <w:r>
        <w:t xml:space="preserve">3. mit der Anordnung eines Berufsverbots nach § 132 der Patentanwaltsordnung.</w:t>
      </w:r>
    </w:p>
    <w:p>
      <w:r>
        <w:t xml:space="preserve">(2) Die Patentanwaltskammer hat Patentanwälten die Ausbildungsbefugnis durch schriftlichen Bescheid zu entziehen, wenn sie</w:t>
      </w:r>
    </w:p>
    <w:p>
      <w:pPr>
        <w:ind w:left="420"/>
      </w:pPr>
      <w:r>
        <w:t xml:space="preserve">1. eine Tätigkeit ausüben, die mit den Pflichten ordentlich Ausbildender unvereinbar ist, oder</w:t>
      </w:r>
    </w:p>
    <w:p>
      <w:pPr>
        <w:ind w:left="420"/>
      </w:pPr>
      <w:r>
        <w:t xml:space="preserve">2. die Pflicht zur gewissenhaften Ausbildung grob vernachlässigen und eine zweimalige Ermahnung durch die Patentanwaltskammer erfolglos geblieben ist.</w:t>
      </w:r>
    </w:p>
    <w:p>
      <w:r>
        <w:t xml:space="preserve">(3) Patentassessoren verlieren ihre Ausbildungsbefugnis mit dem Tag, an dem sie ihre Tätigkeit in einem ständigen Dienstverhältnis in einem Unternehmen aufgeben. Das Deutsche Patent- und Markenamt hat ihnen zudem die Ausbildungsbefugnis durch schriftlichen Bescheid zu entziehen, wenn</w:t>
      </w:r>
    </w:p>
    <w:p>
      <w:pPr>
        <w:ind w:left="420"/>
      </w:pPr>
      <w:r>
        <w:t xml:space="preserve">1. in ihrer Person Gründe vorliegen, die nach § 21 Absatz 2 Nummer 1 bis 3 der Patentanwaltsordnung den Widerruf der Zulassung zur Patentanwaltschaft rechtfertigen würden,</w:t>
      </w:r>
    </w:p>
    <w:p>
      <w:pPr>
        <w:ind w:left="420"/>
      </w:pPr>
      <w:r>
        <w:t xml:space="preserve">2. in ihrer Person die Voraussetzungen nach Absatz 2 entsprechend vorliegen oder</w:t>
      </w:r>
    </w:p>
    <w:p>
      <w:pPr>
        <w:ind w:left="420"/>
      </w:pPr>
      <w:r>
        <w:t xml:space="preserve">3. sie Berichts- oder Vorlagepflichten nach § 14 Absatz 2 trotz Ermahnung und ohne wichtigen Grund nicht nachgekommen sind.</w:t>
      </w:r>
    </w:p>
    <w:p>
      <w:r>
        <w:t xml:space="preserve">(4) Bewerberinnen und Bewerbern sind alle Ausbildungszeiten anzurechnen, die bis zum Verlust oder zur Entziehung der Ausbildungsbefugnis erbracht worden sind. Dies gilt auch dann, wenn der Verlust oder die Entziehung auf Umständen beruht, die die oder den Ausbildenden als zur Ausbildung ungeeignet erscheinen lassen.</w:t>
      </w:r>
    </w:p>
    <w:p>
      <w:r>
        <w:rPr>
          <w:color w:val="555555"/>
          <w:sz w:val="17"/>
        </w:rPr>
        <w:t xml:space="preserve">Zitiervorschlag: § 15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PatAnwAPrV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