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PatAnwAPrV — Ausbildungsbefugnis</w:t>
      </w:r>
    </w:p>
    <w:p>
      <w:r>
        <w:rPr>
          <w:color w:val="555555"/>
          <w:sz w:val="18"/>
        </w:rPr>
        <w:t xml:space="preserve">Patentanwaltsausbildungs- und 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Ausbildung befugt sind Patentanwälte und Patentassessoren, die insgesamt fünf Jahre lang</w:t>
      </w:r>
    </w:p>
    <w:p>
      <w:pPr>
        <w:ind w:left="420"/>
      </w:pPr>
      <w:r>
        <w:t xml:space="preserve">1. als Patentanwalt in einer Kanzlei im Sinne der Patentanwaltsordnung tätig gewesen sind oder</w:t>
      </w:r>
    </w:p>
    <w:p>
      <w:pPr>
        <w:ind w:left="420"/>
      </w:pPr>
      <w:r>
        <w:t xml:space="preserve">2. als Patentassessor auf dem Gebiet des deutschen gewerblichen Rechtsschutzes in einem ständigen Dienstverhältnis in einem Unternehmen tätig gewesen sind.</w:t>
      </w:r>
    </w:p>
    <w:p>
      <w:r>
        <w:t xml:space="preserve">(2) Das Deutsche Patent- und Markenamt kann auf Antrag vom Erfordernis der fünfjährigen Tätigkeit des Patentanwalts oder Patentassessors absehen, wenn das Ziel der Ausbildung nicht gefährdet wird.</w:t>
      </w:r>
    </w:p>
    <w:p>
      <w:r>
        <w:rPr>
          <w:color w:val="555555"/>
          <w:sz w:val="17"/>
        </w:rPr>
        <w:t xml:space="preserve">Zitiervorschlag: § 12 PatAnwAPrV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https://recht.nulegal.eu/gesetze/PatAnwAPrV/12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