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PassV 2007 — Fertigung des Lichtbilds durch die Passbehörde</w:t>
      </w:r>
    </w:p>
    <w:p>
      <w:r>
        <w:rPr>
          <w:color w:val="555555"/>
          <w:sz w:val="18"/>
        </w:rPr>
        <w:t xml:space="preserve">Passverordnung</w:t>
      </w:r>
    </w:p>
    <w:p>
      <w:r>
        <w:rPr>
          <w:color w:val="555555"/>
          <w:sz w:val="18"/>
        </w:rPr>
        <w:t xml:space="preserve">Stand: 14.03.2026 (konsolidierte Textfassung, kein amtliches Inkrafttretensdatum)</w:t>
      </w:r>
    </w:p>
    <w:p>
      <w:r>
        <w:t xml:space="preserve">(1) Wird das Lichtbild von der Passbehörde mit einem eigenen Lichtbildaufnahmegerät gefertigt, trägt die Passbehörde im Passregister als lichtbildaufnehmende Stelle nach § 21 Absatz 2 Nummer 16 des Passgesetzes die Passbehörde ein.</w:t>
      </w:r>
    </w:p>
    <w:p>
      <w:r>
        <w:t xml:space="preserve">(2) Die Anfertigung des Lichtbilds mit einem eigenen Lichtbildaufnahmegerät ist nur zulässig, wenn das Lichtbildaufnahmegerät als Systemkomponente zertifiziert worden ist.</w:t>
      </w:r>
    </w:p>
    <w:p>
      <w:r>
        <w:t xml:space="preserve">(3) Das nach Absatz 1 gefertigte Lichtbild ist unverzüglich vom Lichtbildaufnahmegerät zu löschen, wenn es durch die Passbehörde abgerufen wurde. Wird das gefertigte Lichtbild nicht sofort durch die Passbehörde abgerufen, so ist dieses bis zum Abruf zu speichern, längstens jedoch für 96 Stunden nach dessen Anfertigung.</w:t>
      </w:r>
    </w:p>
    <w:p>
      <w:r>
        <w:rPr>
          <w:color w:val="555555"/>
          <w:sz w:val="17"/>
        </w:rPr>
        <w:t xml:space="preserve">Zitiervorschlag: § 9 PassV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https://recht.nulegal.eu/gesetze/PassV%202007/9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