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PassV 2007 — Gültigkeitsdauer des Passersatzes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Gültigkeitsdauer</w:t>
      </w:r>
    </w:p>
    <w:p>
      <w:pPr>
        <w:ind w:left="420"/>
      </w:pPr>
      <w:r>
        <w:t xml:space="preserve">1. eines Ausweises, der von den für die polizeiliche Kontrolle des grenzüberschreitenden Verkehrs zuständigen Behörden und Dienststellen ausgestellt wird (§ 19 Absatz 1 Nummer 7), oder</w:t>
      </w:r>
    </w:p>
    <w:p>
      <w:pPr>
        <w:ind w:left="420"/>
      </w:pPr>
      <w:r>
        <w:t xml:space="preserve">2. eines Ausweises, der ausschließlich zur Einreise in die Bundesrepublik Deutschland berechtigt (§ 19 Absatz 1 Nummer 8),</w:t>
      </w:r>
    </w:p>
    <w:p>
      <w:r>
        <w:t xml:space="preserve">ist nach der Dauer der beabsichtigten Reise zu bemessen. Ein Ausweis nach Nummer 1 darf nicht länger als drei Monate, ein Ausweis nach Nummer 2 nicht länger als einen Monat gültig sein.</w:t>
      </w:r>
    </w:p>
    <w:p>
      <w:r>
        <w:rPr>
          <w:color w:val="555555"/>
          <w:sz w:val="17"/>
        </w:rPr>
        <w:t xml:space="preserve">Zitiervorschlag: § 22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