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PassV 2007 — Zweck dieser Verordnung; Anwendungsbereich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Diese Verordnung regelt</w:t>
      </w:r>
    </w:p>
    <w:p>
      <w:pPr>
        <w:ind w:left="420"/>
      </w:pPr>
      <w:r>
        <w:t xml:space="preserve">1. die technischen Anforderungen und Verfahren für die elektronische Erfassung des Lichtbilds und der Fingerabdrücke,</w:t>
      </w:r>
    </w:p>
    <w:p>
      <w:pPr>
        <w:ind w:left="420"/>
      </w:pPr>
      <w:r>
        <w:t xml:space="preserve">2. die Übermittlung sämtlicher Passantragsdaten von der Passbehörde an den Passhersteller, die Qualitätssicherung in der Passbehörde und beim Passhersteller sowie das Verfahren zum Nachweis der Erfüllung der Anforderungen,</w:t>
      </w:r>
    </w:p>
    <w:p>
      <w:pPr>
        <w:ind w:left="420"/>
      </w:pPr>
      <w:r>
        <w:t xml:space="preserve">3. die Muster der Pässe, der amtlichen Pässe und der Passersatzpapiere,</w:t>
      </w:r>
    </w:p>
    <w:p>
      <w:pPr>
        <w:ind w:left="420"/>
      </w:pPr>
      <w:r>
        <w:t xml:space="preserve">4. die Einzelheiten der Ausstellung von amtlichen Pässen,</w:t>
      </w:r>
    </w:p>
    <w:p>
      <w:pPr>
        <w:ind w:left="420"/>
      </w:pPr>
      <w:r>
        <w:t xml:space="preserve">5. die Befreiung von der Passpflicht nach § 2 des Passgesetzes sowie</w:t>
      </w:r>
    </w:p>
    <w:p>
      <w:pPr>
        <w:ind w:left="420"/>
      </w:pPr>
      <w:r>
        <w:t xml:space="preserve">6. die Erhebung von Gebühren und Auslagen für das Passwesen.</w:t>
      </w:r>
    </w:p>
    <w:p>
      <w:r>
        <w:t xml:space="preserve">(2) Die Bestimmungen dieser Verordnung gelten für</w:t>
      </w:r>
    </w:p>
    <w:p>
      <w:pPr>
        <w:ind w:left="420"/>
      </w:pPr>
      <w:r>
        <w:t xml:space="preserve">1. die Passbehörden,</w:t>
      </w:r>
    </w:p>
    <w:p>
      <w:pPr>
        <w:ind w:left="420"/>
      </w:pPr>
      <w:r>
        <w:t xml:space="preserve">2. den Passhersteller,</w:t>
      </w:r>
    </w:p>
    <w:p>
      <w:pPr>
        <w:ind w:left="420"/>
      </w:pPr>
      <w:r>
        <w:t xml:space="preserve">3. die für die polizeiliche Kontrolle des grenzüberschreitenden Verkehrs zuständigen Behörden und Dienststellen, soweit ihnen die Ausstellung als Passersatz bestimmter amtlicher Ausweise mit kurzer Gültigkeitsdauer obliegt, sowie</w:t>
      </w:r>
    </w:p>
    <w:p>
      <w:pPr>
        <w:ind w:left="420"/>
      </w:pPr>
      <w:r>
        <w:t xml:space="preserve">4. für die Hersteller und Lieferanten von technischen Systemen und Bestandteilen, die zum Einsatz bei den Verfahren bestimmt sind, die in dieser Verordnung geregelt sind.</w:t>
      </w:r>
    </w:p>
    <w:p>
      <w:r>
        <w:rPr>
          <w:color w:val="555555"/>
          <w:sz w:val="17"/>
        </w:rPr>
        <w:t xml:space="preserve">Zitiervorschlag: § 1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