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PartGG — Anmeldung der Partnerschaft; Statuswechsel</w:t>
      </w:r>
    </w:p>
    <w:p>
      <w:r>
        <w:rPr>
          <w:color w:val="555555"/>
          <w:sz w:val="18"/>
        </w:rPr>
        <w:t xml:space="preserve">Partnerschaftsgesellschaftsgesetz</w:t>
      </w:r>
    </w:p>
    <w:p>
      <w:r>
        <w:rPr>
          <w:color w:val="555555"/>
          <w:sz w:val="18"/>
        </w:rPr>
        <w:t xml:space="preserve">Stand: 01.01.2024 (konsolidierte Textfassung, kein amtliches Inkrafttretensdatum)</w:t>
      </w:r>
    </w:p>
    <w:p>
      <w:r>
        <w:t xml:space="preserve">(1) Auf die Anmeldung der Partnerschaft in das Partnerschaftsregister sind § 106 Absatz 1 und 7 Satz 1 und 2 des Handelsgesetzbuchs entsprechend anzuwenden. Die Anmeldung hat die Angaben gemäß § 5 Absatz 1 zu enthalten. Änderungen dieser Angaben sind gleichfalls zur Eintragung in das Partnerschaftsregister anzumelden.</w:t>
      </w:r>
    </w:p>
    <w:p>
      <w:r>
        <w:t xml:space="preserve">(2) In der Anmeldung ist die Zugehörigkeit jedes Partners zu dem Freien Beruf, den er in der Partnerschaft ausübt, anzugeben. Das Registergericht legt bei der Eintragung die Angaben der Partner zugrunde, es sei denn, ihm ist deren Unrichtigkeit bekannt.</w:t>
      </w:r>
    </w:p>
    <w:p>
      <w:r>
        <w:t xml:space="preserve">(3) Der Anmeldung einer Partnerschaft mit beschränkter Berufshaftung nach § 8 Absatz 4 muss eine Versicherungsbescheinigung gemäß § 113 Absatz 2 des Gesetzes über den Versicherungsvertrag beigefügt sein.</w:t>
      </w:r>
    </w:p>
    <w:p>
      <w:r>
        <w:t xml:space="preserve">(4) Auf den Statuswechsel unter Beteiligung einer Partnerschaft ist § 107 Absatz 3 des Handelsgesetzbuchs entsprechend anzuwenden.</w:t>
      </w:r>
    </w:p>
    <w:p>
      <w:r>
        <w:rPr>
          <w:color w:val="555555"/>
          <w:sz w:val="17"/>
        </w:rPr>
        <w:t xml:space="preserve">Zitiervorschlag: § 4 PartGG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