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PartGG — Name der Partnerschaft</w:t>
      </w:r>
    </w:p>
    <w:p>
      <w:r>
        <w:rPr>
          <w:color w:val="555555"/>
          <w:sz w:val="18"/>
        </w:rPr>
        <w:t xml:space="preserve">Partnerschaftsgesellschaftsgesetz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Der Name der Partnerschaft muss den Zusatz „und Partner“ oder „Partnerschaft“ enthalten.</w:t>
      </w:r>
    </w:p>
    <w:p>
      <w:r>
        <w:t xml:space="preserve">(2) Die §§ 18, 21, 22 Abs. 1, §§ 23, 24, 30, 31 Abs. 2, §§ 32 und 37 des Handelsgesetzbuchs sind entsprechend anzuwenden; § 24 Abs. 2 des Handelsgesetzbuchs gilt auch bei Umwandlung einer Gesellschaft bürgerlichen Rechts in eine Partnerschaft.</w:t>
      </w:r>
    </w:p>
    <w:p>
      <w:r>
        <w:rPr>
          <w:color w:val="555555"/>
          <w:sz w:val="17"/>
        </w:rPr>
        <w:t xml:space="preserve">Zitiervorschlag: § 2 PartGG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