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PartGG — Liquidation der Partnerschaft, Nachhaftung</w:t>
      </w:r>
    </w:p>
    <w:p>
      <w:r>
        <w:rPr>
          <w:color w:val="555555"/>
          <w:sz w:val="18"/>
        </w:rPr>
        <w:t xml:space="preserve">Partnerschaftsgesellschaftsgesetz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Für die Liquidation der Partnerschaft sind die Vorschriften über die Liquidation der offenen Handelsgesellschaft entsprechend anwendbar.</w:t>
      </w:r>
    </w:p>
    <w:p>
      <w:r>
        <w:t xml:space="preserve">(2) Nach der Auflösung der Partnerschaft oder nach dem Ausscheiden des Partners bestimmt sich die Haftung der Partner aus Verbindlichkeiten der Partnerschaft nach den §§ 137 und 151 des Handelsgesetzbuchs.</w:t>
      </w:r>
    </w:p>
    <w:p>
      <w:r>
        <w:rPr>
          <w:color w:val="555555"/>
          <w:sz w:val="17"/>
        </w:rPr>
        <w:t xml:space="preserve">Zitiervorschlag: § 10 PartGG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