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PartG — Organe</w:t>
      </w:r>
    </w:p>
    <w:p>
      <w:r>
        <w:rPr>
          <w:color w:val="555555"/>
          <w:sz w:val="18"/>
        </w:rPr>
        <w:t xml:space="preserve">Parteiengesetz</w:t>
      </w:r>
    </w:p>
    <w:p>
      <w:r>
        <w:rPr>
          <w:color w:val="555555"/>
          <w:sz w:val="18"/>
        </w:rPr>
        <w:t xml:space="preserve">Stand: 10.06.2019 (konsolidierte Textfassung, kein amtliches Inkrafttretensdatum)</w:t>
      </w:r>
    </w:p>
    <w:p>
      <w:r>
        <w:t xml:space="preserve">(1) Mitgliederversammlung und Vorstand sind notwendige Organe der Partei und der Gebietsverbände. Durch die Satzung kann bestimmt werden, daß in den überörtlichen Verbänden an die Stelle der Mitgliederversammlung eine Vertreterversammlung tritt, deren Mitglieder für höchstens zwei Jahre durch Mitglieder- oder Vertreterversammlungen der nachgeordneten Verbände gewählt werden. Landesparteien ohne Gebietsverbände (§ 7 Abs. 1 Satz 4) können die Mitgliederversammlung durch eine Vertreterversammlung ersetzen, wenn sie mehr als 250 Mitglieder haben. Vertreterversammlungen können auch für Ortsverbände von mehr als 250 Mitgliedern oder mit großer räumlicher Ausdehnung gebildet werden.</w:t>
      </w:r>
    </w:p>
    <w:p>
      <w:r>
        <w:t xml:space="preserve">(2) Die Satzung kann weitere der Willensbildung des jeweiligen Gebietsverbandes dienende Einrichtungen (Organe) vorsehen. Sie sind in der Satzung ausdrücklich als solche zu bezeichnen.</w:t>
      </w:r>
    </w:p>
    <w:p>
      <w:r>
        <w:rPr>
          <w:color w:val="555555"/>
          <w:sz w:val="17"/>
        </w:rPr>
        <w:t xml:space="preserve">Zitiervorschlag: § 8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