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PartG — Satzung und Programm</w:t>
      </w:r>
    </w:p>
    <w:p>
      <w:r>
        <w:rPr>
          <w:color w:val="555555"/>
          <w:sz w:val="18"/>
        </w:rPr>
        <w:t xml:space="preserve">Parteiengesetz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Partei muß eine schriftliche Satzung und ein schriftliches Programm haben. Die Gebietsverbände regeln ihre Angelegenheiten durch eigene Satzungen, soweit die Satzung des jeweils nächsthöheren Gebietsverbandes hierüber keine Vorschriften enthält.</w:t>
      </w:r>
    </w:p>
    <w:p>
      <w:r>
        <w:t xml:space="preserve">(2) Die Satzungen müssen Bestimmungen enthalten über</w:t>
      </w:r>
    </w:p>
    <w:p>
      <w:pPr>
        <w:ind w:left="420"/>
      </w:pPr>
      <w:r>
        <w:t xml:space="preserve">1. Namen sowie Kurzbezeichnung, sofern eine solche verwandt wird, Sitz und Tätigkeitsgebiet der Partei,</w:t>
      </w:r>
    </w:p>
    <w:p>
      <w:pPr>
        <w:ind w:left="420"/>
      </w:pPr>
      <w:r>
        <w:t xml:space="preserve">2. Aufnahme und Austritt der Mitglieder,</w:t>
      </w:r>
    </w:p>
    <w:p>
      <w:pPr>
        <w:ind w:left="420"/>
      </w:pPr>
      <w:r>
        <w:t xml:space="preserve">3. Rechte und Pflichten der Mitglieder,</w:t>
      </w:r>
    </w:p>
    <w:p>
      <w:pPr>
        <w:ind w:left="420"/>
      </w:pPr>
      <w:r>
        <w:t xml:space="preserve">4. zulässige Ordnungsmaßnahmen gegen Mitglieder und ihren Ausschluß (§ 10 Abs. 3 bis 5),</w:t>
      </w:r>
    </w:p>
    <w:p>
      <w:pPr>
        <w:ind w:left="420"/>
      </w:pPr>
      <w:r>
        <w:t xml:space="preserve">5. zulässige Ordnungsmaßnahmen gegen Gebietsverbände,</w:t>
      </w:r>
    </w:p>
    <w:p>
      <w:pPr>
        <w:ind w:left="420"/>
      </w:pPr>
      <w:r>
        <w:t xml:space="preserve">6. allgemeine Gliederung der Partei,</w:t>
      </w:r>
    </w:p>
    <w:p>
      <w:pPr>
        <w:ind w:left="420"/>
      </w:pPr>
      <w:r>
        <w:t xml:space="preserve">7. Zusammensetzung und Befugnisse des Vorstandes und der übrigen Organe,</w:t>
      </w:r>
    </w:p>
    <w:p>
      <w:pPr>
        <w:ind w:left="420"/>
      </w:pPr>
      <w:r>
        <w:t xml:space="preserve">8. der Beschlußfassung durch die Mitglieder- und Vertreterversammlungen nach § 9 vorbehaltene Angelegenheiten,</w:t>
      </w:r>
    </w:p>
    <w:p>
      <w:pPr>
        <w:ind w:left="420"/>
      </w:pPr>
      <w:r>
        <w:t xml:space="preserve">9. Voraussetzung, Form und Frist der Einberufung der Mitglieder- und Vertreterversammlungen sowie Beurkundung der Beschlüsse,</w:t>
      </w:r>
    </w:p>
    <w:p>
      <w:pPr>
        <w:ind w:left="420"/>
      </w:pPr>
      <w:r>
        <w:t xml:space="preserve">10. Gebietsverbände und Organe, die zur Einreichung (Unterzeichnung) von Wahlvorschlägen für Wahlen zu Volksvertretungen befugt sind, soweit hierüber keine gesetzlichen Vorschriften bestehen,</w:t>
      </w:r>
    </w:p>
    <w:p>
      <w:pPr>
        <w:ind w:left="420"/>
      </w:pPr>
      <w:r>
        <w:t xml:space="preserve">11. eine Urabstimmung der Mitglieder und das Verfahren, wenn der Parteitag die Auflösung der Partei oder des Gebietsverbandes oder die Verschmelzung mit anderen Parteien nach § 9 Abs. 3 beschlossen hat. Der Beschluß gilt nach dem Ergebnis der Urabstimmung als bestätigt, geändert oder aufgehoben,</w:t>
      </w:r>
    </w:p>
    <w:p>
      <w:pPr>
        <w:ind w:left="420"/>
      </w:pPr>
      <w:r>
        <w:t xml:space="preserve">12. Form und Inhalt einer Finanzordnung, die den Vorschriften des Fünften Abschnittes dieses Gesetzes genügt.</w:t>
      </w:r>
    </w:p>
    <w:p>
      <w:r>
        <w:t xml:space="preserve">(3) Der Vorstand hat dem Bundeswahlleiter</w:t>
      </w:r>
    </w:p>
    <w:p>
      <w:pPr>
        <w:ind w:left="420"/>
      </w:pPr>
      <w:r>
        <w:t xml:space="preserve">1. Satzung und Programm der Partei,</w:t>
      </w:r>
    </w:p>
    <w:p>
      <w:pPr>
        <w:ind w:left="420"/>
      </w:pPr>
      <w:r>
        <w:t xml:space="preserve">2. Namen der Vorstandsmitglieder der Partei und der Landesverbände mit Angabe ihrer Funktionen,</w:t>
      </w:r>
    </w:p>
    <w:p>
      <w:pPr>
        <w:ind w:left="420"/>
      </w:pPr>
      <w:r>
        <w:t xml:space="preserve">3. Auflösung der Partei oder eines Landesverbandes</w:t>
      </w:r>
    </w:p>
    <w:p>
      <w:r>
        <w:t xml:space="preserve">mitzuteilen. Änderungen zu Satz 1 Nr. 1 und 2 sind bis zum 31. Dezember des jeweiligen Kalenderjahres anzuzeigen. Die Unterlagen können beim Bundeswahlleiter von jedermann eingesehen werden. Abschriften dieser Unterlagen sind auf Anforderung gebührenfrei zu erteilen.</w:t>
      </w:r>
    </w:p>
    <w:p>
      <w:r>
        <w:t xml:space="preserve">(4) Bei Parteien, deren Organisation sich auf das Gebiet eines Landes beschränkt (Landesparteien), gelten die in diesem Gesetz für die Partei getroffenen Regelungen für den Landesverband.</w:t>
      </w:r>
    </w:p>
    <w:p>
      <w:r>
        <w:rPr>
          <w:color w:val="555555"/>
          <w:sz w:val="17"/>
        </w:rPr>
        <w:t xml:space="preserve">Zitiervorschlag: § 6 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