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PartG — Zwangsmittel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Bundeswahlleiter kann den Vorstand der Partei zur Vornahme der Handlungen nach § 6 Abs. 3 durch ein Zwangsgeld anhalten. Die Vorschriften des Verwaltungs-Vollstreckungsgesetzes gelten sinngemäß; der Bundeswahlleiter handelt insoweit als Vollstreckungs- und Vollzugsbehörde. Die Höhe des Zwangsgeldes beträgt mindestens 250 Euro und höchstens 1 500 Euro.</w:t>
      </w:r>
    </w:p>
    <w:p>
      <w:r>
        <w:t xml:space="preserve">(2) Der Präsident des Deutschen Bundestages kann den Vorstand der Partei zur Einreichung eines Rechenschaftsberichts, der den Vorschriften des Fünften Abschnitts entspricht, durch ein Zwangsgeld anhalten. Die Vorschriften des Verwaltungs-Vollstreckungsgesetzes gelten sinngemäß; der Präsident des Deutschen Bundestages handelt insoweit als Vollstreckungs- und Vollzugsbehörde. Die Höhe des Zwangsgeldes beträgt mindestens 500 Euro und höchstens 10 000 Euro.</w:t>
      </w:r>
    </w:p>
    <w:p>
      <w:r>
        <w:rPr>
          <w:color w:val="555555"/>
          <w:sz w:val="17"/>
        </w:rPr>
        <w:t xml:space="preserve">Zitiervorschlag: § 38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