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PartG — Nichtanwendbarkeit einer Vorschrift des Bürgerlichen Gesetzbuchs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06.03.2024 (konsolidierte Textfassung, kein amtliches Inkrafttretensdatum)</w:t>
      </w:r>
    </w:p>
    <w:p>
      <w:r>
        <w:t xml:space="preserve">§ 54 Absatz 2 des Bürgerlichen Gesetzbuchs wird bei Parteien nicht angewandt.</w:t>
      </w:r>
    </w:p>
    <w:p>
      <w:r>
        <w:rPr>
          <w:color w:val="555555"/>
          <w:sz w:val="17"/>
        </w:rPr>
        <w:t xml:space="preserve">Zitiervorschlag: § 37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