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PartG — Vollstreckung</w:t>
      </w:r>
    </w:p>
    <w:p>
      <w:r>
        <w:rPr>
          <w:color w:val="555555"/>
          <w:sz w:val="18"/>
        </w:rPr>
        <w:t xml:space="preserve">Parteiengesetz</w:t>
      </w:r>
    </w:p>
    <w:p>
      <w:r>
        <w:rPr>
          <w:color w:val="555555"/>
          <w:sz w:val="18"/>
        </w:rPr>
        <w:t xml:space="preserve">Stand: 01.07.2020 (konsolidierte Textfassung, kein amtliches Inkrafttretensdatum)</w:t>
      </w:r>
    </w:p>
    <w:p>
      <w:r>
        <w:t xml:space="preserve">(1) Wird eine Partei oder eine Teilorganisation einer Partei nach Artikel 21 Abs. 2 des Grundgesetzes für verfassungswidrig erklärt, so treffen die von den Landesregierungen bestimmten Behörden im Rahmen der Gesetze alle Maßnahmen, die zur Vollstreckung des Urteils und etwaiger zusätzlicher Vollstreckungsregelungen des Bundesverfassungsgerichts erforderlich sind. Die obersten Landesbehörden haben zu diesem Zweck unbeschränktes Weisungsrecht gegenüber den Behörden und Dienststellen des Landes, die für die Wahrung der öffentlichen Sicherheit oder Ordnung zuständig sind.</w:t>
      </w:r>
    </w:p>
    <w:p>
      <w:r>
        <w:t xml:space="preserve">(2) Erstreckt sich die Organisation oder die Tätigkeit der Partei oder des für verfassungswidrig erklärten Teils der Partei über das Gebiet eines Landes hinaus, so trifft der Bundesminister des Innern, für Bau und Heimat die für eine einheitliche Vollstreckung erforderlichen Anordnungen.</w:t>
      </w:r>
    </w:p>
    <w:p>
      <w:r>
        <w:t xml:space="preserve">(3) Das Bundesverfassungsgericht kann die Vollstreckung nach § 35 des Gesetzes über das Bundesverfassungsgericht abweichend von den Vorschriften der Absätze 1 und 2 regeln.</w:t>
      </w:r>
    </w:p>
    <w:p>
      <w:r>
        <w:t xml:space="preserve">(4) Widerspruch und Anfechtungsklage gegen Vollstreckungsmaßnahmen haben keine aufschiebende Wirkung. Betrifft ein verwaltungsgerichtliches Verfahren eine Frage, die für die Vollstreckung des Urteils von grundsätzlicher Bedeutung ist, so ist das Verfahren auszusetzen und die Entscheidung des Bundesverfassungsgerichts einzuholen. Das Bundesverfassungsgericht entscheidet auch über Einwendungen gegen die Art und Weise der Durchführung der von ihm angeordneten besonderen Vollstreckungsmaßnahmen.</w:t>
      </w:r>
    </w:p>
    <w:p>
      <w:r>
        <w:t xml:space="preserve">(5) Im Falle der Vermögenseinziehung werden die §§ 10 bis 13 des Vereinsgesetzes vom 5. August 1964 (BGBl. I S. 593) entsprechend angewendet. Verbotsbehörde ist die oberste Landesbehörde, im Fall des Absatzes 2 der Bundesminister des Innern, für Bau und Heimat.</w:t>
      </w:r>
    </w:p>
    <w:p>
      <w:r>
        <w:rPr>
          <w:color w:val="555555"/>
          <w:sz w:val="17"/>
        </w:rPr>
        <w:t xml:space="preserve">Zitiervorschlag: § 32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