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PartG — Rechtswidrig erlangte oder nicht veröffentlichte Spenden</w:t>
      </w:r>
    </w:p>
    <w:p>
      <w:r>
        <w:rPr>
          <w:color w:val="555555"/>
          <w:sz w:val="18"/>
        </w:rPr>
        <w:t xml:space="preserve">Parteiengesetz</w:t>
      </w:r>
    </w:p>
    <w:p>
      <w:r>
        <w:rPr>
          <w:color w:val="555555"/>
          <w:sz w:val="18"/>
        </w:rPr>
        <w:t xml:space="preserve">Stand: 10.06.2019 (konsolidierte Textfassung, kein amtliches Inkrafttretensdatum)</w:t>
      </w:r>
    </w:p>
    <w:p>
      <w:r>
        <w:t xml:space="preserve">Hat eine Partei Spenden unter Verstoß gegen § 25 Abs. 2 angenommen und nicht gemäß § 25 Abs. 4 an den Präsidenten des Deutschen Bundestages weitergeleitet, entsteht gegen sie ein Anspruch in Höhe des Dreifachen des rechtswidrig erlangten Betrages; bereits abgeführte Spenden werden angerechnet. Hat eine Partei Spenden nicht den Vorschriften dieses Gesetzes entsprechend im Rechenschaftsbericht veröffentlicht (§ 25 Abs. 3), entsteht gegen sie ein Anspruch in Höhe des Zweifachen des nicht den Vorschriften dieses Gesetzes entsprechend veröffentlichten Betrages. Der Präsident stellt die Verpflichtung der Partei zur Zahlung des Betrages durch Verwaltungsakt fest. § 31a Abs. 2 bis 5 gilt entsprechend.</w:t>
      </w:r>
    </w:p>
    <w:p>
      <w:r>
        <w:rPr>
          <w:color w:val="555555"/>
          <w:sz w:val="17"/>
        </w:rPr>
        <w:t xml:space="preserve">Zitiervorschlag: § 31c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