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31a PartG — Rückforderung der staatlichen Finanzierung</w:t>
      </w:r>
    </w:p>
    <w:p>
      <w:r>
        <w:rPr>
          <w:color w:val="555555"/>
          <w:sz w:val="18"/>
        </w:rPr>
        <w:t xml:space="preserve">Parteiengesetz</w:t>
      </w:r>
    </w:p>
    <w:p>
      <w:r>
        <w:rPr>
          <w:color w:val="555555"/>
          <w:sz w:val="18"/>
        </w:rPr>
        <w:t xml:space="preserve">Stand: 10.06.2019 (konsolidierte Textfassung, kein amtliches Inkrafttretensdatum)</w:t>
      </w:r>
    </w:p>
    <w:p>
      <w:r>
        <w:t xml:space="preserve">(1) Soweit im Rechenschaftsbericht Zuwendungen (§ 18 Abs. 3 Satz 1 Nr. 3) zu Unrecht ausgewiesen worden sind und dadurch der Betrag der der Partei zustehenden staatlichen Mittel unrichtig festgesetzt worden ist, nimmt der Präsident des Deutschen Bundestages die gemäß § 19a Abs. 1 erfolgte Festsetzung der staatlichen Mittel zurück. Dies gilt nicht, wenn die Berichtigung im Rechenschaftsbericht für das folgende Jahr erfolgt (§ 23a Abs. 5 Satz 3). § 48 Abs. 2 des Verwaltungsverfahrensgesetzes findet keine Anwendung.</w:t>
      </w:r>
    </w:p>
    <w:p>
      <w:r>
        <w:t xml:space="preserve">(2) Nach Ablauf der in § 24 Abs. 2 bestimmten Frist ist die Rücknahme ausgeschlossen.</w:t>
      </w:r>
    </w:p>
    <w:p>
      <w:r>
        <w:t xml:space="preserve">(3) Mit der Rücknahme setzt der Präsident des Deutschen Bundestages den von der Partei zu erstattenden Betrag durch Verwaltungsakt fest. Ergibt sich im Zuge der weiteren staatlichen Finanzierung eine Verrechnungslage, ist der Unterschiedsbetrag mit der nächsten Abschlagszahlung an die Partei zu verrechnen.</w:t>
      </w:r>
    </w:p>
    <w:p>
      <w:r>
        <w:t xml:space="preserve">(4) Die Festsetzungen und Zahlungen an die übrigen Parteien bleiben unverändert.</w:t>
      </w:r>
    </w:p>
    <w:p>
      <w:r>
        <w:t xml:space="preserve">(5) Die Parteien sollen in die Satzungen Regelungen für den Fall aufnehmen, dass Maßnahmen nach Absatz 1 durch Landesverbände oder diesen nachgeordnete Gebietsverbände verursacht werden.</w:t>
      </w:r>
    </w:p>
    <w:p>
      <w:r>
        <w:rPr>
          <w:color w:val="555555"/>
          <w:sz w:val="17"/>
        </w:rPr>
        <w:t xml:space="preserve">Zitiervorschlag: § 31a 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https://recht.nulegal.eu/gesetze/PartG/31a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