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PartG — Prüfungsbericht und Prüfungsvermerk</w:t>
      </w:r>
    </w:p>
    <w:p>
      <w:r>
        <w:rPr>
          <w:color w:val="555555"/>
          <w:sz w:val="18"/>
        </w:rPr>
        <w:t xml:space="preserve">Parteiengesetz</w:t>
      </w:r>
    </w:p>
    <w:p>
      <w:r>
        <w:rPr>
          <w:color w:val="555555"/>
          <w:sz w:val="18"/>
        </w:rPr>
        <w:t xml:space="preserve">Stand: 10.06.2019 (konsolidierte Textfassung, kein amtliches Inkrafttretensdatum)</w:t>
      </w:r>
    </w:p>
    <w:p>
      <w:r>
        <w:t xml:space="preserve">(1) Das Ergebnis der Prüfung ist in einem schriftlichen Prüfungsbericht niederzulegen, der dem Vorstand der Partei und dem Vorstand des geprüften Gebietsverbandes zu übergeben ist.</w:t>
      </w:r>
    </w:p>
    <w:p>
      <w:r>
        <w:t xml:space="preserve">(2) Sind nach dem abschließenden Ergebnis der Prüfung keine Einwendungen zu erheben, so hat der Prüfer durch einen Vermerk zu bestätigen, daß nach pflichtgemäßer Prüfung auf Grund der Bücher und Schriften der Partei sowie der von den Vorständen erteilten Aufklärungen und Nachweise der Rechenschaftsbericht in dem geprüften Umfang (§ 29 Abs. 1) den Vorschriften dieses Gesetzes entspricht. Sind Einwendungen zu erheben, so hat der Prüfer in seinem Prüfungsvermerk die Bestätigung zu versagen oder einzuschränken. Die geprüften Gebietsverbände sind im Prüfungsvermerk namhaft zu machen.</w:t>
      </w:r>
    </w:p>
    <w:p>
      <w:r>
        <w:t xml:space="preserve">(3) Der Prüfungsvermerk ist auf dem einzureichenden Rechenschaftsbericht anzubringen und in vollem Wortlaut nach § 23 Abs. 2 Satz 3 mit zu veröffentlichen.</w:t>
      </w:r>
    </w:p>
    <w:p>
      <w:r>
        <w:rPr>
          <w:color w:val="555555"/>
          <w:sz w:val="17"/>
        </w:rPr>
        <w:t xml:space="preserve">Zitiervorschlag: § 30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