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PartG — Prüfung des Rechenschaftsberichts</w:t>
      </w:r>
    </w:p>
    <w:p>
      <w:r>
        <w:rPr>
          <w:color w:val="555555"/>
          <w:sz w:val="18"/>
        </w:rPr>
        <w:t xml:space="preserve">Parteiengesetz</w:t>
      </w:r>
    </w:p>
    <w:p>
      <w:r>
        <w:rPr>
          <w:color w:val="555555"/>
          <w:sz w:val="18"/>
        </w:rPr>
        <w:t xml:space="preserve">Stand: 10.06.2019 (konsolidierte Textfassung, kein amtliches Inkrafttretensdatum)</w:t>
      </w:r>
    </w:p>
    <w:p>
      <w:r>
        <w:t xml:space="preserve">(1) Die Prüfung nach § 23 Abs. 2 Satz 1 erstreckt sich auf die Bundespartei, ihre Landesverbände sowie nach Wahl des Prüfers auf mindestens zehn nachgeordnete Gebietsverbände. In die Prüfung ist die Buchführung einzubeziehen. Die Prüfung hat sich darauf zu erstrecken, ob die gesetzlichen Vorschriften beachtet worden sind. Die Prüfung ist so anzulegen, dass Unrichtigkeiten und Verstöße gegen die gesetzlichen Vorschriften bei gewissenhafter Berufsausübung erkannt werden.</w:t>
      </w:r>
    </w:p>
    <w:p>
      <w:r>
        <w:t xml:space="preserve">(2) Der Prüfer kann von den Vorständen und den von ihnen dazu ermächtigten Personen alle Aufklärungen und Nachweise verlangen, welche die sorgfältige Erfüllung seiner Prüfungspflicht erfordert. Es ist ihm insoweit auch zu gestatten, die Unterlagen für die Zusammenstellung des Rechenschaftsberichts, die Bücher und Schriftstücke sowie die Kassen- und Vermögensbestände zu prüfen.</w:t>
      </w:r>
    </w:p>
    <w:p>
      <w:r>
        <w:t xml:space="preserve">(3) Der Vorstand des zu prüfenden Gebietsverbandes hat dem Prüfer schriftlich zu versichern, daß in dem Rechenschaftsbericht alle rechenschaftspflichtigen Einnahmen, Ausgaben und Vermögenswerte erfaßt sind. Auf die Versicherung der Vorstände nachgeordneter Gebietsverbände kann Bezug genommen werden. Es genügt die Versicherung des für die Finanzangelegenheiten zuständigen Vorstandsmitgliedes.</w:t>
      </w:r>
    </w:p>
    <w:p>
      <w:r>
        <w:rPr>
          <w:color w:val="555555"/>
          <w:sz w:val="17"/>
        </w:rPr>
        <w:t xml:space="preserve">Zitiervorschlag: § 29 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https://recht.nulegal.eu/gesetze/PartG/29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