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PartG — Vermögensbilanz</w:t>
      </w:r>
    </w:p>
    <w:p>
      <w:r>
        <w:rPr>
          <w:color w:val="555555"/>
          <w:sz w:val="18"/>
        </w:rPr>
        <w:t xml:space="preserve">Parteiengesetz</w:t>
      </w:r>
    </w:p>
    <w:p>
      <w:r>
        <w:rPr>
          <w:color w:val="555555"/>
          <w:sz w:val="18"/>
        </w:rPr>
        <w:t xml:space="preserve">Stand: 10.06.2019 (konsolidierte Textfassung, kein amtliches Inkrafttretensdatum)</w:t>
      </w:r>
    </w:p>
    <w:p>
      <w:r>
        <w:t xml:space="preserve">(1) In der Vermögensbilanz sind Vermögensgegenstände mit einem Anschaffungswert von im Einzelfall mehr als 5.000 Euro (inklusive Umsatzsteuer) aufzuführen.</w:t>
      </w:r>
    </w:p>
    <w:p>
      <w:r>
        <w:t xml:space="preserve">(2) Vermögensgegenstände sind mit den Anschaffungs- und Herstellungskosten vermindert um planmäßige Abschreibungen anzusetzen. Im Bereich des Haus- und Grundvermögens erfolgen keine planmäßigen Abschreibungen.</w:t>
      </w:r>
    </w:p>
    <w:p>
      <w:r>
        <w:t xml:space="preserve">(3) Gliederungen unterhalb der Landesverbände können Einnahmen und Ausgaben im Jahr des Zu- beziehungsweise Abflusses verbuchen, auch wenn die jeweiligen Forderungen beziehungsweise Verbindlichkeiten bereits im Vorjahr entstanden sind. Die §§ 249 bis 251 des Handelsgesetzbuchs können für die Aufstellung der Rechenschaftsberichte dieser Gliederungen unbeachtet bleiben.</w:t>
      </w:r>
    </w:p>
    <w:p>
      <w:r>
        <w:rPr>
          <w:color w:val="555555"/>
          <w:sz w:val="17"/>
        </w:rPr>
        <w:t xml:space="preserve">Zitiervorschlag: § 28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