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27a PartG — Werbemaßnahmen anderer</w:t>
      </w:r>
    </w:p>
    <w:p>
      <w:r>
        <w:rPr>
          <w:color w:val="555555"/>
          <w:sz w:val="18"/>
        </w:rPr>
        <w:t xml:space="preserve">Parteiengesetz</w:t>
      </w:r>
    </w:p>
    <w:p>
      <w:r>
        <w:rPr>
          <w:color w:val="555555"/>
          <w:sz w:val="18"/>
        </w:rPr>
        <w:t xml:space="preserve">Stand: 06.03.2024 (konsolidierte Textfassung, kein amtliches Inkrafttretensdatum)</w:t>
      </w:r>
    </w:p>
    <w:p>
      <w:r>
        <w:t xml:space="preserve">(1) Personen, die beabsichtigen Werbemaßnahmen im Sinne des § 27 Absatz 1a zu Gunsten einer Partei durchzuführen, haben der Partei die Maßnahme unter Angabe von deren Wert, Inhalt, Finanzierung und Umfang so frühzeitig anzuzeigen, dass die Partei rechtzeitig vor der Durchführung über die Annahme als Spende entscheiden kann. Auf ein Verlangen der Partei sind sie verpflichtet, entsprechende Werbemaßnahmen unverzüglich zu unterlassen.</w:t>
      </w:r>
    </w:p>
    <w:p>
      <w:r>
        <w:t xml:space="preserve">(2) Verlangt die Partei nicht unverzüglich, nachdem sie von einer Werbemaßnahme im Sinne des Absatzes 1 durch die Anzeige oder auf sonstigem Wege Kenntnis erlangt hat, ihre Unterlassung, so ist die Maßnahme als Spende angenommen. Die Partei hat Unterlassung zu verlangen, wenn die Spende nach § 25 Absatz 2 nicht angenommen werden darf.</w:t>
      </w:r>
    </w:p>
    <w:p>
      <w:r>
        <w:t xml:space="preserve">(3) Die Pflichten des Absatzes 2 gelten nur dann, wenn der Partei ein Unterlassungsverlangen möglich und zumutbar ist. Ist ihr das Unterlassungsverlangen nicht möglich oder zumutbar, hat die Partei jedoch den Vorgang dem Bundestagspräsidenten anzuzeigen und über ihn in ihrem Rechenschaftsbericht zu berichten.</w:t>
      </w:r>
    </w:p>
    <w:p>
      <w:r>
        <w:t xml:space="preserve">(4) Für Öffentlichkeitsarbeit der Fraktionen, die nicht unter § 27 Absatz 1a Satz 7 fällt und die als Übernahme von Werbemaßnahmen für ihre Partei zu werten ist, gelten die allgemeinen Regelungen dieses Gesetzes zur Annahme von Spenden.</w:t>
      </w:r>
    </w:p>
    <w:p>
      <w:r>
        <w:t xml:space="preserve">(5) Die Anzeige nach Absatz 1 Satz 1 muss an die Geschäftsstelle der höchsten Gliederungsebene der Partei erfolgen.</w:t>
      </w:r>
    </w:p>
    <w:p>
      <w:r>
        <w:rPr>
          <w:color w:val="555555"/>
          <w:sz w:val="17"/>
        </w:rPr>
        <w:t xml:space="preserve">Zitiervorschlag: § 27a PartG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https://recht.nulegal.eu/gesetze/PartG/27a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